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rFonts w:ascii="Calibri" w:hAnsi="Calibri" w:cs="Calibri" w:asciiTheme="minorHAnsi" w:cstheme="minorHAnsi" w:hAnsiTheme="minorHAnsi"/>
          <w:szCs w:val="24"/>
        </w:rPr>
      </w:pPr>
      <w:r>
        <w:rPr>
          <w:rFonts w:cs="Calibri" w:ascii="Calibri" w:hAnsi="Calibri" w:asciiTheme="minorHAnsi" w:cstheme="minorHAnsi" w:hAnsiTheme="minorHAnsi"/>
          <w:szCs w:val="24"/>
        </w:rPr>
        <w:t>LOW COST HOUSING LIST – FEBRUARY 2023</w:t>
      </w:r>
    </w:p>
    <w:p>
      <w:pPr>
        <w:pStyle w:val="Title"/>
        <w:rPr>
          <w:rFonts w:ascii="Calibri" w:hAnsi="Calibri" w:cs="Calibri" w:asciiTheme="minorHAnsi" w:cstheme="minorHAnsi" w:hAnsiTheme="minorHAnsi"/>
          <w:sz w:val="10"/>
          <w:szCs w:val="10"/>
        </w:rPr>
      </w:pPr>
      <w:r>
        <w:rPr>
          <w:rFonts w:cs="Calibri" w:cstheme="minorHAnsi" w:ascii="Calibri" w:hAnsi="Calibri"/>
          <w:sz w:val="10"/>
          <w:szCs w:val="10"/>
        </w:rPr>
      </w:r>
    </w:p>
    <w:p>
      <w:pPr>
        <w:pStyle w:val="TextBody"/>
        <w:jc w:val="both"/>
        <w:rPr>
          <w:rFonts w:ascii="Calibri" w:hAnsi="Calibri" w:cs="Calibri" w:asciiTheme="minorHAnsi" w:cstheme="minorHAnsi" w:hAnsiTheme="minorHAnsi"/>
          <w:b/>
          <w:b/>
          <w:sz w:val="24"/>
          <w:szCs w:val="24"/>
          <w:u w:val="single"/>
        </w:rPr>
      </w:pPr>
      <w:r>
        <w:rPr>
          <w:rFonts w:cs="Calibri" w:ascii="Calibri" w:hAnsi="Calibri" w:asciiTheme="minorHAnsi" w:cstheme="minorHAnsi" w:hAnsiTheme="minorHAnsi"/>
          <w:b/>
          <w:sz w:val="24"/>
          <w:szCs w:val="24"/>
          <w:u w:val="single"/>
        </w:rPr>
        <w:t>SUBSIDIZED HOUSING WAIT LISTS: PAY 30% OF INCOME FOR RENT</w:t>
      </w:r>
    </w:p>
    <w:p>
      <w:pPr>
        <w:pStyle w:val="Title"/>
        <w:jc w:val="left"/>
        <w:rPr>
          <w:rFonts w:ascii="Calibri" w:hAnsi="Calibri" w:cs="Calibri" w:asciiTheme="minorHAnsi" w:cstheme="minorHAnsi" w:hAnsiTheme="minorHAnsi"/>
          <w:sz w:val="16"/>
          <w:szCs w:val="16"/>
        </w:rPr>
      </w:pPr>
      <w:r>
        <w:rPr>
          <w:rFonts w:cs="Calibri" w:cstheme="minorHAnsi" w:ascii="Calibri" w:hAnsi="Calibri"/>
          <w:sz w:val="16"/>
          <w:szCs w:val="16"/>
        </w:rPr>
      </w:r>
    </w:p>
    <w:p>
      <w:pPr>
        <w:pStyle w:val="Title"/>
        <w:numPr>
          <w:ilvl w:val="0"/>
          <w:numId w:val="4"/>
        </w:numPr>
        <w:jc w:val="left"/>
        <w:rPr>
          <w:rFonts w:ascii="Calibri" w:hAnsi="Calibri" w:cs="Calibri" w:asciiTheme="minorHAnsi" w:cstheme="minorHAnsi" w:hAnsiTheme="minorHAnsi"/>
          <w:szCs w:val="24"/>
        </w:rPr>
      </w:pPr>
      <w:r>
        <w:rPr>
          <w:rFonts w:cs="Calibri" w:ascii="Calibri" w:hAnsi="Calibri" w:asciiTheme="minorHAnsi" w:cstheme="minorHAnsi" w:hAnsiTheme="minorHAnsi"/>
          <w:szCs w:val="24"/>
        </w:rPr>
        <w:t xml:space="preserve">Housing Authority of Champaign County:  1 bedroom apartments for 1 or 2 adults age 55+.  Go to </w:t>
      </w:r>
      <w:hyperlink r:id="rId2">
        <w:r>
          <w:rPr>
            <w:rStyle w:val="InternetLink"/>
            <w:rFonts w:cs="Calibri" w:ascii="Calibri" w:hAnsi="Calibri" w:asciiTheme="minorHAnsi" w:cstheme="minorHAnsi" w:hAnsiTheme="minorHAnsi"/>
            <w:szCs w:val="24"/>
          </w:rPr>
          <w:t>www.hacc.net</w:t>
        </w:r>
      </w:hyperlink>
      <w:r>
        <w:rPr>
          <w:rFonts w:cs="Calibri" w:ascii="Calibri" w:hAnsi="Calibri" w:asciiTheme="minorHAnsi" w:cstheme="minorHAnsi" w:hAnsiTheme="minorHAnsi"/>
          <w:szCs w:val="24"/>
        </w:rPr>
        <w:t>, select “Housing” on the bar at the top of the page and then select “Apply for Housing.”  Urbana, Champaign, Rantoul &amp; Mahomet locations.</w:t>
      </w:r>
    </w:p>
    <w:p>
      <w:pPr>
        <w:pStyle w:val="Title"/>
        <w:numPr>
          <w:ilvl w:val="0"/>
          <w:numId w:val="1"/>
        </w:numPr>
        <w:jc w:val="left"/>
        <w:rPr>
          <w:rFonts w:ascii="Calibri" w:hAnsi="Calibri" w:cs="Calibri" w:asciiTheme="minorHAnsi" w:cstheme="minorHAnsi" w:hAnsiTheme="minorHAnsi"/>
          <w:szCs w:val="24"/>
        </w:rPr>
      </w:pPr>
      <w:r>
        <w:rPr>
          <w:rFonts w:cs="Calibri" w:ascii="Calibri" w:hAnsi="Calibri" w:asciiTheme="minorHAnsi" w:cstheme="minorHAnsi" w:hAnsiTheme="minorHAnsi"/>
          <w:szCs w:val="24"/>
        </w:rPr>
        <w:t>Privately-owned, subsidized for senior citizens– 1 bedroom apartments:</w:t>
      </w:r>
    </w:p>
    <w:p>
      <w:pPr>
        <w:pStyle w:val="ListParagraph"/>
        <w:numPr>
          <w:ilvl w:val="0"/>
          <w:numId w:val="2"/>
        </w:numPr>
        <w:spacing w:lineRule="auto" w:line="240" w:before="0" w:after="0"/>
        <w:contextualSpacing/>
        <w:rPr>
          <w:rFonts w:cs="Calibri" w:cstheme="minorHAnsi"/>
          <w:b/>
          <w:b/>
          <w:sz w:val="24"/>
          <w:szCs w:val="24"/>
        </w:rPr>
      </w:pPr>
      <w:r>
        <w:rPr>
          <w:rFonts w:cs="Calibri" w:cstheme="minorHAnsi"/>
          <w:b/>
          <w:sz w:val="24"/>
          <w:szCs w:val="24"/>
        </w:rPr>
        <w:t>Florida House (age 62 +) – 1501 E. Florida, Urbana   217-328-3301</w:t>
      </w:r>
    </w:p>
    <w:p>
      <w:pPr>
        <w:pStyle w:val="ListParagraph"/>
        <w:numPr>
          <w:ilvl w:val="0"/>
          <w:numId w:val="2"/>
        </w:numPr>
        <w:spacing w:lineRule="auto" w:line="240" w:before="0" w:after="0"/>
        <w:contextualSpacing/>
        <w:rPr>
          <w:rFonts w:cs="Calibri" w:cstheme="minorHAnsi"/>
          <w:b/>
          <w:b/>
          <w:sz w:val="24"/>
          <w:szCs w:val="24"/>
        </w:rPr>
      </w:pPr>
      <w:r>
        <w:rPr>
          <w:rFonts w:cs="Calibri" w:cstheme="minorHAnsi"/>
          <w:b/>
          <w:sz w:val="24"/>
          <w:szCs w:val="24"/>
        </w:rPr>
        <w:t>Sunnycrest Manor (age 55+) – 1805 Cottage Grove, Urbana  217-328-6170</w:t>
      </w:r>
    </w:p>
    <w:p>
      <w:pPr>
        <w:pStyle w:val="TextBody"/>
        <w:jc w:val="both"/>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 xml:space="preserve">People age 62 or older </w:t>
      </w:r>
      <w:r>
        <w:rPr>
          <w:rFonts w:cs="Calibri" w:ascii="Calibri" w:hAnsi="Calibri" w:asciiTheme="minorHAnsi" w:cstheme="minorHAnsi" w:hAnsiTheme="minorHAnsi"/>
          <w:b/>
          <w:sz w:val="24"/>
          <w:szCs w:val="24"/>
          <w:u w:val="single"/>
        </w:rPr>
        <w:t>or</w:t>
      </w:r>
      <w:r>
        <w:rPr>
          <w:rFonts w:cs="Calibri" w:ascii="Calibri" w:hAnsi="Calibri" w:asciiTheme="minorHAnsi" w:cstheme="minorHAnsi" w:hAnsiTheme="minorHAnsi"/>
          <w:b/>
          <w:sz w:val="24"/>
          <w:szCs w:val="24"/>
        </w:rPr>
        <w:t xml:space="preserve"> </w:t>
      </w:r>
      <w:r>
        <w:rPr>
          <w:rFonts w:cs="Calibri" w:ascii="Calibri" w:hAnsi="Calibri" w:asciiTheme="minorHAnsi" w:cstheme="minorHAnsi" w:hAnsiTheme="minorHAnsi"/>
          <w:b/>
          <w:sz w:val="24"/>
          <w:szCs w:val="24"/>
          <w:u w:val="single"/>
        </w:rPr>
        <w:t>person with a disability</w:t>
      </w:r>
      <w:r>
        <w:rPr>
          <w:rFonts w:cs="Calibri" w:ascii="Calibri" w:hAnsi="Calibri" w:asciiTheme="minorHAnsi" w:cstheme="minorHAnsi" w:hAnsiTheme="minorHAnsi"/>
          <w:b/>
          <w:sz w:val="24"/>
          <w:szCs w:val="24"/>
        </w:rPr>
        <w:t xml:space="preserve"> – 1 bedroom apartments:</w:t>
      </w:r>
    </w:p>
    <w:p>
      <w:pPr>
        <w:pStyle w:val="ListParagraph"/>
        <w:numPr>
          <w:ilvl w:val="0"/>
          <w:numId w:val="2"/>
        </w:numPr>
        <w:spacing w:lineRule="auto" w:line="240" w:before="0" w:after="0"/>
        <w:contextualSpacing/>
        <w:rPr>
          <w:rFonts w:cs="Calibri" w:cstheme="minorHAnsi"/>
          <w:b/>
          <w:b/>
          <w:sz w:val="24"/>
          <w:szCs w:val="24"/>
        </w:rPr>
      </w:pPr>
      <w:r>
        <w:rPr>
          <w:rFonts w:cs="Calibri" w:cstheme="minorHAnsi"/>
          <w:b/>
          <w:sz w:val="24"/>
          <w:szCs w:val="24"/>
        </w:rPr>
        <w:t>Edge of the Mall Apartments – 109 W. Illinois, Urbana  217-328-6409</w:t>
      </w:r>
    </w:p>
    <w:p>
      <w:pPr>
        <w:pStyle w:val="ListParagraph"/>
        <w:numPr>
          <w:ilvl w:val="0"/>
          <w:numId w:val="2"/>
        </w:numPr>
        <w:spacing w:lineRule="auto" w:line="240" w:before="0" w:after="0"/>
        <w:contextualSpacing/>
        <w:rPr>
          <w:rFonts w:cs="Calibri" w:cstheme="minorHAnsi"/>
          <w:b/>
          <w:b/>
          <w:sz w:val="24"/>
          <w:szCs w:val="24"/>
        </w:rPr>
      </w:pPr>
      <w:r>
        <w:rPr>
          <w:rFonts w:cs="Calibri" w:cstheme="minorHAnsi"/>
          <w:b/>
          <w:sz w:val="24"/>
          <w:szCs w:val="24"/>
        </w:rPr>
        <w:t>Round Barn Manor – 2000 W. John, Champaign  217-351-9090</w:t>
      </w:r>
    </w:p>
    <w:p>
      <w:pPr>
        <w:pStyle w:val="ListParagraph"/>
        <w:spacing w:lineRule="auto" w:line="240" w:before="0" w:after="0"/>
        <w:contextualSpacing/>
        <w:rPr>
          <w:rFonts w:cs="Calibri" w:cstheme="minorHAnsi"/>
          <w:b/>
          <w:b/>
          <w:sz w:val="16"/>
          <w:szCs w:val="16"/>
        </w:rPr>
      </w:pPr>
      <w:r>
        <w:rPr>
          <w:rFonts w:cs="Calibri" w:cstheme="minorHAnsi"/>
          <w:b/>
          <w:sz w:val="16"/>
          <w:szCs w:val="16"/>
        </w:rPr>
      </w:r>
    </w:p>
    <w:p>
      <w:pPr>
        <w:pStyle w:val="TextBody"/>
        <w:rPr>
          <w:rFonts w:ascii="Calibri" w:hAnsi="Calibri" w:cs="Calibri" w:asciiTheme="minorHAnsi" w:cstheme="minorHAnsi" w:hAnsiTheme="minorHAnsi"/>
          <w:b/>
          <w:b/>
          <w:sz w:val="24"/>
          <w:szCs w:val="24"/>
          <w:u w:val="single"/>
        </w:rPr>
      </w:pPr>
      <w:r>
        <w:rPr>
          <w:rFonts w:cs="Calibri" w:ascii="Calibri" w:hAnsi="Calibri" w:asciiTheme="minorHAnsi" w:cstheme="minorHAnsi" w:hAnsiTheme="minorHAnsi"/>
          <w:b/>
          <w:sz w:val="24"/>
          <w:szCs w:val="24"/>
          <w:u w:val="single"/>
        </w:rPr>
        <w:t>The apartments listed below are NOT subsidized.  They were advertised on craigslist or the company’s web site</w:t>
      </w:r>
      <w:r>
        <w:rPr>
          <w:rFonts w:cs="Calibri" w:ascii="Calibri" w:hAnsi="Calibri" w:asciiTheme="minorHAnsi" w:cstheme="minorHAnsi" w:hAnsiTheme="minorHAnsi"/>
          <w:b/>
          <w:sz w:val="24"/>
          <w:szCs w:val="24"/>
        </w:rPr>
        <w:t xml:space="preserve">.  Email us at </w:t>
      </w:r>
      <w:hyperlink r:id="rId3">
        <w:r>
          <w:rPr>
            <w:rStyle w:val="InternetLink"/>
            <w:rFonts w:cs="Calibri" w:ascii="Calibri" w:hAnsi="Calibri" w:asciiTheme="minorHAnsi" w:cstheme="minorHAnsi" w:hAnsiTheme="minorHAnsi"/>
            <w:b/>
            <w:sz w:val="24"/>
            <w:szCs w:val="24"/>
            <w:u w:val="none"/>
          </w:rPr>
          <w:t>cutenantunion@gmail.com</w:t>
        </w:r>
      </w:hyperlink>
      <w:r>
        <w:rPr>
          <w:rFonts w:cs="Calibri" w:ascii="Calibri" w:hAnsi="Calibri" w:asciiTheme="minorHAnsi" w:cstheme="minorHAnsi" w:hAnsiTheme="minorHAnsi"/>
          <w:b/>
          <w:sz w:val="24"/>
          <w:szCs w:val="24"/>
        </w:rPr>
        <w:t xml:space="preserve"> to check landlord complaint records for anything you find that is not on the list below.  Most are NO SMOKING.</w:t>
      </w:r>
    </w:p>
    <w:p>
      <w:pPr>
        <w:pStyle w:val="TextBody"/>
        <w:jc w:val="both"/>
        <w:rPr>
          <w:rFonts w:ascii="Calibri" w:hAnsi="Calibri" w:cs="Calibri" w:asciiTheme="minorHAnsi" w:cstheme="minorHAnsi" w:hAnsiTheme="minorHAnsi"/>
          <w:b/>
          <w:b/>
          <w:sz w:val="16"/>
          <w:szCs w:val="16"/>
        </w:rPr>
      </w:pPr>
      <w:r>
        <w:rPr>
          <w:rFonts w:cs="Calibri" w:cstheme="minorHAnsi" w:ascii="Calibri" w:hAnsi="Calibri"/>
          <w:b/>
          <w:sz w:val="16"/>
          <w:szCs w:val="16"/>
        </w:rPr>
      </w:r>
    </w:p>
    <w:p>
      <w:pPr>
        <w:pStyle w:val="TextBody"/>
        <w:jc w:val="center"/>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 xml:space="preserve">All phone numbers below are </w:t>
      </w:r>
      <w:r>
        <w:rPr>
          <w:rFonts w:cs="Calibri" w:ascii="Calibri" w:hAnsi="Calibri" w:asciiTheme="minorHAnsi" w:cstheme="minorHAnsi" w:hAnsiTheme="minorHAnsi"/>
          <w:b/>
          <w:sz w:val="24"/>
          <w:szCs w:val="24"/>
          <w:u w:val="single"/>
        </w:rPr>
        <w:t>area code 217</w:t>
      </w:r>
      <w:r>
        <w:rPr>
          <w:rFonts w:cs="Calibri" w:ascii="Calibri" w:hAnsi="Calibri" w:asciiTheme="minorHAnsi" w:cstheme="minorHAnsi" w:hAnsiTheme="minorHAnsi"/>
          <w:b/>
          <w:sz w:val="24"/>
          <w:szCs w:val="24"/>
        </w:rPr>
        <w:t xml:space="preserve"> unless otherwise indicated. </w:t>
      </w:r>
    </w:p>
    <w:p>
      <w:pPr>
        <w:pStyle w:val="TextBody"/>
        <w:jc w:val="center"/>
        <w:rPr>
          <w:rFonts w:ascii="Calibri" w:hAnsi="Calibri" w:cs="Calibri" w:asciiTheme="minorHAnsi" w:cstheme="minorHAnsi" w:hAnsiTheme="minorHAnsi"/>
          <w:b/>
          <w:b/>
          <w:sz w:val="16"/>
          <w:szCs w:val="16"/>
        </w:rPr>
      </w:pPr>
      <w:r>
        <w:rPr>
          <w:rFonts w:cs="Calibri" w:cstheme="minorHAnsi" w:ascii="Calibri" w:hAnsi="Calibri"/>
          <w:b/>
          <w:sz w:val="16"/>
          <w:szCs w:val="16"/>
        </w:rPr>
      </w:r>
    </w:p>
    <w:p>
      <w:pPr>
        <w:pStyle w:val="TextBody"/>
        <w:tabs>
          <w:tab w:val="clear" w:pos="720"/>
          <w:tab w:val="left" w:pos="3720" w:leader="none"/>
          <w:tab w:val="left" w:pos="3840" w:leader="none"/>
          <w:tab w:val="left" w:pos="6030" w:leader="none"/>
          <w:tab w:val="left" w:pos="6390" w:leader="none"/>
        </w:tabs>
        <w:rPr>
          <w:rFonts w:ascii="Calibri" w:hAnsi="Calibri" w:cs="Calibri" w:asciiTheme="minorHAnsi" w:cstheme="minorHAnsi" w:hAnsiTheme="minorHAnsi"/>
          <w:b/>
          <w:b/>
          <w:sz w:val="24"/>
          <w:szCs w:val="24"/>
          <w:u w:val="single"/>
        </w:rPr>
      </w:pPr>
      <w:r>
        <w:rPr>
          <w:rFonts w:cs="Calibri" w:ascii="Calibri" w:hAnsi="Calibri" w:asciiTheme="minorHAnsi" w:cstheme="minorHAnsi" w:hAnsiTheme="minorHAnsi"/>
          <w:b/>
          <w:sz w:val="24"/>
          <w:szCs w:val="24"/>
          <w:u w:val="single"/>
        </w:rPr>
        <w:t>One Bedroom Apartments</w:t>
      </w:r>
    </w:p>
    <w:p>
      <w:pPr>
        <w:pStyle w:val="TextBody"/>
        <w:tabs>
          <w:tab w:val="clear" w:pos="720"/>
          <w:tab w:val="left" w:pos="3720" w:leader="none"/>
          <w:tab w:val="left" w:pos="4050" w:leader="none"/>
          <w:tab w:val="left" w:pos="5640" w:leader="none"/>
          <w:tab w:val="left" w:pos="6030" w:leader="none"/>
          <w:tab w:val="left" w:pos="639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$599 Ramshaw Real Estate (studio)</w:t>
        <w:tab/>
        <w:tab/>
        <w:t>359-6400</w:t>
        <w:tab/>
        <w:t>616 W. Healey, Champaign</w:t>
      </w:r>
    </w:p>
    <w:p>
      <w:pPr>
        <w:pStyle w:val="TextBody"/>
        <w:tabs>
          <w:tab w:val="clear" w:pos="720"/>
          <w:tab w:val="left" w:pos="3720" w:leader="none"/>
          <w:tab w:val="left" w:pos="4050" w:leader="none"/>
          <w:tab w:val="left" w:pos="5640" w:leader="none"/>
          <w:tab w:val="left" w:pos="6030" w:leader="none"/>
          <w:tab w:val="left" w:pos="639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$620-$685 Town &amp; Country Apts.</w:t>
        <w:tab/>
        <w:tab/>
        <w:t>903-5281</w:t>
        <w:tab/>
        <w:t>1032 Kerr Av, Urbana</w:t>
      </w:r>
    </w:p>
    <w:p>
      <w:pPr>
        <w:pStyle w:val="TextBody"/>
        <w:tabs>
          <w:tab w:val="clear" w:pos="720"/>
          <w:tab w:val="left" w:pos="3720" w:leader="none"/>
          <w:tab w:val="left" w:pos="4050" w:leader="none"/>
          <w:tab w:val="left" w:pos="5640" w:leader="none"/>
          <w:tab w:val="left" w:pos="6030" w:leader="none"/>
          <w:tab w:val="left" w:pos="6120" w:leader="none"/>
          <w:tab w:val="left" w:pos="639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$670  Royse &amp; Brinkmeyer (2/18/23)</w:t>
        <w:tab/>
        <w:tab/>
        <w:t>352-1129</w:t>
        <w:tab/>
        <w:t>1500 W. Anthony Dr., Champaign</w:t>
      </w:r>
    </w:p>
    <w:p>
      <w:pPr>
        <w:pStyle w:val="TextBody"/>
        <w:tabs>
          <w:tab w:val="clear" w:pos="720"/>
          <w:tab w:val="left" w:pos="3720" w:leader="none"/>
          <w:tab w:val="left" w:pos="4050" w:leader="none"/>
          <w:tab w:val="left" w:pos="5640" w:leader="none"/>
          <w:tab w:val="left" w:pos="6030" w:leader="none"/>
          <w:tab w:val="left" w:pos="6120" w:leader="none"/>
          <w:tab w:val="left" w:pos="639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$725 Prairie Green Apartments</w:t>
        <w:tab/>
        <w:tab/>
        <w:t>384-2900</w:t>
        <w:tab/>
        <w:t>2502 Prairie Green Drive, Urbana</w:t>
      </w:r>
    </w:p>
    <w:p>
      <w:pPr>
        <w:pStyle w:val="TextBody"/>
        <w:tabs>
          <w:tab w:val="clear" w:pos="720"/>
          <w:tab w:val="left" w:pos="3720" w:leader="none"/>
          <w:tab w:val="left" w:pos="4050" w:leader="none"/>
          <w:tab w:val="left" w:pos="6390" w:leader="none"/>
        </w:tabs>
        <w:rPr>
          <w:rFonts w:ascii="Calibri" w:hAnsi="Calibri" w:cs="Calibri" w:asciiTheme="minorHAnsi" w:cstheme="minorHAnsi" w:hAnsiTheme="minorHAnsi"/>
          <w:b/>
          <w:b/>
          <w:sz w:val="10"/>
          <w:szCs w:val="10"/>
          <w:u w:val="single"/>
        </w:rPr>
      </w:pPr>
      <w:r>
        <w:rPr>
          <w:rFonts w:cs="Calibri" w:cstheme="minorHAnsi" w:ascii="Calibri" w:hAnsi="Calibri"/>
          <w:b/>
          <w:sz w:val="10"/>
          <w:szCs w:val="10"/>
          <w:u w:val="single"/>
        </w:rPr>
      </w:r>
    </w:p>
    <w:p>
      <w:pPr>
        <w:pStyle w:val="TextBody"/>
        <w:tabs>
          <w:tab w:val="clear" w:pos="720"/>
          <w:tab w:val="left" w:pos="3720" w:leader="none"/>
          <w:tab w:val="left" w:pos="4050" w:leader="none"/>
          <w:tab w:val="left" w:pos="6390" w:leader="none"/>
        </w:tabs>
        <w:rPr>
          <w:rFonts w:ascii="Calibri" w:hAnsi="Calibri" w:cs="Calibri" w:asciiTheme="minorHAnsi" w:cstheme="minorHAnsi" w:hAnsiTheme="minorHAnsi"/>
          <w:b/>
          <w:b/>
          <w:sz w:val="24"/>
          <w:szCs w:val="24"/>
          <w:u w:val="single"/>
        </w:rPr>
      </w:pPr>
      <w:r>
        <w:rPr>
          <w:rFonts w:cs="Calibri" w:ascii="Calibri" w:hAnsi="Calibri" w:asciiTheme="minorHAnsi" w:cstheme="minorHAnsi" w:hAnsiTheme="minorHAnsi"/>
          <w:b/>
          <w:sz w:val="24"/>
          <w:szCs w:val="24"/>
          <w:u w:val="single"/>
        </w:rPr>
        <w:t xml:space="preserve">Two Bedroom Apartments </w:t>
      </w:r>
    </w:p>
    <w:p>
      <w:pPr>
        <w:pStyle w:val="TextBody"/>
        <w:tabs>
          <w:tab w:val="clear" w:pos="720"/>
          <w:tab w:val="left" w:pos="3720" w:leader="none"/>
          <w:tab w:val="left" w:pos="4050" w:leader="none"/>
          <w:tab w:val="left" w:pos="5640" w:leader="none"/>
          <w:tab w:val="left" w:pos="6030" w:leader="none"/>
          <w:tab w:val="left" w:pos="639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 xml:space="preserve">$640 Golfview Village </w:t>
        <w:tab/>
        <w:tab/>
        <w:t>215-0833</w:t>
        <w:tab/>
        <w:t>620 Willow Pond Road, Rantoul</w:t>
      </w:r>
    </w:p>
    <w:p>
      <w:pPr>
        <w:pStyle w:val="TextBody"/>
        <w:tabs>
          <w:tab w:val="clear" w:pos="720"/>
          <w:tab w:val="left" w:pos="3720" w:leader="none"/>
          <w:tab w:val="left" w:pos="4050" w:leader="none"/>
          <w:tab w:val="left" w:pos="5640" w:leader="none"/>
          <w:tab w:val="left" w:pos="600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$720-$845 Town &amp; Country Apts.</w:t>
        <w:tab/>
        <w:tab/>
        <w:t>903-5281</w:t>
        <w:tab/>
        <w:t>1032 Kerr Av, Urbana</w:t>
      </w:r>
    </w:p>
    <w:p>
      <w:pPr>
        <w:pStyle w:val="TextBody"/>
        <w:tabs>
          <w:tab w:val="clear" w:pos="720"/>
          <w:tab w:val="left" w:pos="3720" w:leader="none"/>
          <w:tab w:val="left" w:pos="4050" w:leader="none"/>
          <w:tab w:val="left" w:pos="5640" w:leader="none"/>
          <w:tab w:val="left" w:pos="6030" w:leader="none"/>
          <w:tab w:val="left" w:pos="639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$745 Ramshaw Real Estate</w:t>
        <w:tab/>
        <w:tab/>
        <w:t>359-6400</w:t>
        <w:tab/>
        <w:t>111 W. Park, Urbana</w:t>
      </w:r>
    </w:p>
    <w:p>
      <w:pPr>
        <w:pStyle w:val="TextBody"/>
        <w:tabs>
          <w:tab w:val="clear" w:pos="720"/>
          <w:tab w:val="left" w:pos="3720" w:leader="none"/>
          <w:tab w:val="left" w:pos="4050" w:leader="none"/>
          <w:tab w:val="left" w:pos="5640" w:leader="none"/>
          <w:tab w:val="left" w:pos="6030" w:leader="none"/>
          <w:tab w:val="left" w:pos="639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 xml:space="preserve">$780 Westgate Apartments </w:t>
        <w:tab/>
        <w:tab/>
        <w:t>359-5330</w:t>
        <w:tab/>
        <w:t>1600 W. Bradley, Champaign</w:t>
      </w:r>
    </w:p>
    <w:p>
      <w:pPr>
        <w:pStyle w:val="TextBody"/>
        <w:tabs>
          <w:tab w:val="clear" w:pos="720"/>
          <w:tab w:val="left" w:pos="3720" w:leader="none"/>
          <w:tab w:val="left" w:pos="4050" w:leader="none"/>
          <w:tab w:val="left" w:pos="5640" w:leader="none"/>
          <w:tab w:val="left" w:pos="6030" w:leader="none"/>
          <w:tab w:val="left" w:pos="639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 xml:space="preserve">$805 Royse &amp; Brinkmeyer </w:t>
        <w:tab/>
        <w:tab/>
        <w:t>352-1129</w:t>
        <w:tab/>
        <w:t>507 W. Green St., Champaign</w:t>
      </w:r>
    </w:p>
    <w:p>
      <w:pPr>
        <w:pStyle w:val="TextBody"/>
        <w:tabs>
          <w:tab w:val="clear" w:pos="720"/>
          <w:tab w:val="left" w:pos="3720" w:leader="none"/>
          <w:tab w:val="left" w:pos="4050" w:leader="none"/>
          <w:tab w:val="left" w:pos="5640" w:leader="none"/>
          <w:tab w:val="left" w:pos="6030" w:leader="none"/>
          <w:tab w:val="left" w:pos="6120" w:leader="none"/>
          <w:tab w:val="left" w:pos="639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$800-$925 Prairie Green Apartments</w:t>
        <w:tab/>
        <w:tab/>
        <w:t>384-2900</w:t>
        <w:tab/>
        <w:t>2502 Prairie Green Drive, Urbana</w:t>
      </w:r>
    </w:p>
    <w:p>
      <w:pPr>
        <w:pStyle w:val="TextBody"/>
        <w:tabs>
          <w:tab w:val="clear" w:pos="720"/>
          <w:tab w:val="left" w:pos="3720" w:leader="none"/>
          <w:tab w:val="left" w:pos="4050" w:leader="none"/>
          <w:tab w:val="left" w:pos="5220" w:leader="none"/>
          <w:tab w:val="left" w:pos="6390" w:leader="none"/>
        </w:tabs>
        <w:rPr>
          <w:rFonts w:ascii="Arial" w:hAnsi="Arial" w:cs="Arial"/>
          <w:color w:val="222222"/>
          <w:sz w:val="20"/>
          <w:shd w:fill="FFFFFF" w:val="clear"/>
        </w:rPr>
      </w:pPr>
      <w:r>
        <w:rPr>
          <w:rFonts w:cs="Arial" w:ascii="Arial" w:hAnsi="Arial"/>
          <w:color w:val="222222"/>
          <w:sz w:val="20"/>
          <w:shd w:fill="FFFFFF" w:val="clear"/>
        </w:rPr>
        <w:tab/>
      </w:r>
    </w:p>
    <w:p>
      <w:pPr>
        <w:pStyle w:val="TextBody"/>
        <w:tabs>
          <w:tab w:val="clear" w:pos="720"/>
          <w:tab w:val="left" w:pos="3720" w:leader="none"/>
          <w:tab w:val="left" w:pos="4050" w:leader="none"/>
          <w:tab w:val="left" w:pos="5220" w:leader="none"/>
          <w:tab w:val="left" w:pos="6390" w:leader="none"/>
        </w:tabs>
        <w:rPr>
          <w:rFonts w:ascii="Calibri" w:hAnsi="Calibri" w:cs="Calibri" w:asciiTheme="minorHAnsi" w:cstheme="minorHAnsi" w:hAnsiTheme="minorHAnsi"/>
          <w:b/>
          <w:b/>
          <w:sz w:val="24"/>
          <w:szCs w:val="24"/>
          <w:u w:val="single"/>
        </w:rPr>
      </w:pPr>
      <w:r>
        <w:rPr>
          <w:rFonts w:cs="Calibri" w:ascii="Calibri" w:hAnsi="Calibri" w:asciiTheme="minorHAnsi" w:cstheme="minorHAnsi" w:hAnsiTheme="minorHAnsi"/>
          <w:b/>
          <w:sz w:val="24"/>
          <w:szCs w:val="24"/>
          <w:u w:val="single"/>
        </w:rPr>
        <w:t>Three &amp; Four Bedroom Townhouses</w:t>
      </w:r>
    </w:p>
    <w:p>
      <w:pPr>
        <w:pStyle w:val="TextBody"/>
        <w:tabs>
          <w:tab w:val="clear" w:pos="720"/>
          <w:tab w:val="left" w:pos="3720" w:leader="none"/>
          <w:tab w:val="left" w:pos="4050" w:leader="none"/>
          <w:tab w:val="left" w:pos="5220" w:leader="none"/>
          <w:tab w:val="left" w:pos="639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 xml:space="preserve">$699  Golfview Village  </w:t>
        <w:tab/>
        <w:tab/>
        <w:t>215-0833</w:t>
        <w:tab/>
        <w:t xml:space="preserve">        620 Willow Pond Road, Rantoul</w:t>
      </w:r>
    </w:p>
    <w:p>
      <w:pPr>
        <w:pStyle w:val="TextBody"/>
        <w:tabs>
          <w:tab w:val="clear" w:pos="720"/>
          <w:tab w:val="left" w:pos="3720" w:leader="none"/>
          <w:tab w:val="left" w:pos="4050" w:leader="none"/>
          <w:tab w:val="left" w:pos="5640" w:leader="none"/>
          <w:tab w:val="left" w:pos="6030" w:leader="none"/>
          <w:tab w:val="left" w:pos="6120" w:leader="none"/>
          <w:tab w:val="left" w:pos="639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$1,050  Prairie Green Apartments</w:t>
        <w:tab/>
        <w:tab/>
        <w:t>384-2900</w:t>
        <w:tab/>
        <w:t>2502 Prairie Green Drive, Urbana</w:t>
      </w:r>
    </w:p>
    <w:p>
      <w:pPr>
        <w:pStyle w:val="TextBody"/>
        <w:tabs>
          <w:tab w:val="clear" w:pos="720"/>
          <w:tab w:val="left" w:pos="3720" w:leader="none"/>
          <w:tab w:val="left" w:pos="4050" w:leader="none"/>
          <w:tab w:val="left" w:pos="5640" w:leader="none"/>
          <w:tab w:val="left" w:pos="6030" w:leader="none"/>
          <w:tab w:val="left" w:pos="6120" w:leader="none"/>
          <w:tab w:val="left" w:pos="639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$1,100  Stone Ridge Apartments</w:t>
        <w:tab/>
        <w:tab/>
        <w:t>337-6567</w:t>
        <w:tab/>
        <w:t>1714 E. Colorado, Urbana</w:t>
      </w:r>
    </w:p>
    <w:p>
      <w:pPr>
        <w:pStyle w:val="TextBody"/>
        <w:tabs>
          <w:tab w:val="clear" w:pos="720"/>
          <w:tab w:val="left" w:pos="3720" w:leader="none"/>
          <w:tab w:val="left" w:pos="4050" w:leader="none"/>
          <w:tab w:val="left" w:pos="5640" w:leader="none"/>
          <w:tab w:val="left" w:pos="6030" w:leader="none"/>
          <w:tab w:val="left" w:pos="6120" w:leader="none"/>
          <w:tab w:val="left" w:pos="639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$1,150  Ramshaw Real Estate</w:t>
        <w:tab/>
        <w:tab/>
        <w:t>359-6400</w:t>
        <w:tab/>
        <w:t>510 S. Mattis, Champaign</w:t>
      </w:r>
    </w:p>
    <w:p>
      <w:pPr>
        <w:pStyle w:val="TextBody"/>
        <w:tabs>
          <w:tab w:val="clear" w:pos="720"/>
          <w:tab w:val="left" w:pos="3720" w:leader="none"/>
          <w:tab w:val="left" w:pos="4050" w:leader="none"/>
          <w:tab w:val="left" w:pos="5640" w:leader="none"/>
          <w:tab w:val="left" w:pos="6030" w:leader="none"/>
          <w:tab w:val="left" w:pos="6120" w:leader="none"/>
          <w:tab w:val="left" w:pos="6390" w:leader="none"/>
        </w:tabs>
        <w:rPr>
          <w:rFonts w:ascii="Calibri" w:hAnsi="Calibri" w:cs="Calibri" w:asciiTheme="minorHAnsi" w:cstheme="minorHAnsi" w:hAnsiTheme="minorHAnsi"/>
          <w:b/>
          <w:b/>
          <w:sz w:val="24"/>
          <w:szCs w:val="24"/>
        </w:rPr>
      </w:pPr>
      <w:r>
        <w:rPr>
          <w:rFonts w:cs="Calibri" w:ascii="Calibri" w:hAnsi="Calibri" w:asciiTheme="minorHAnsi" w:cstheme="minorHAnsi" w:hAnsiTheme="minorHAnsi"/>
          <w:b/>
          <w:sz w:val="24"/>
          <w:szCs w:val="24"/>
        </w:rPr>
        <w:tab/>
      </w:r>
    </w:p>
    <w:p>
      <w:pPr>
        <w:pStyle w:val="Normal"/>
        <w:spacing w:lineRule="auto" w:line="240" w:before="0" w:after="0"/>
        <w:rPr/>
      </w:pPr>
      <w:r>
        <w:rPr>
          <w:rFonts w:cs="Calibri" w:cstheme="minorHAnsi"/>
          <w:b/>
          <w:sz w:val="24"/>
          <w:szCs w:val="24"/>
        </w:rPr>
        <w:t>It is unlawful throughout the State of Illinois for a landlord to refuse to rent on the basis of the applicant using a housing voucher to subsidize rent</w:t>
      </w:r>
      <w:r>
        <w:rPr>
          <w:rFonts w:cs="Calibri" w:cstheme="minorHAnsi"/>
          <w:bCs/>
          <w:sz w:val="24"/>
          <w:szCs w:val="24"/>
        </w:rPr>
        <w:t xml:space="preserve">.  It is also against the law in Illinois for any landlord to refuse to rent to you because of your race, color, religion, ancestry, disability, children, marital status, sex, military status or sexual orientation.  </w:t>
      </w:r>
      <w:r>
        <w:rPr>
          <w:rFonts w:cs="Calibri" w:cstheme="minorHAnsi"/>
          <w:b/>
          <w:sz w:val="24"/>
          <w:szCs w:val="24"/>
        </w:rPr>
        <w:t>In Champaign and Urbana, it is unlawful to refuse to rent solely on the basis of a criminal conviction record</w:t>
      </w:r>
      <w:r>
        <w:rPr>
          <w:rFonts w:cs="Calibri" w:cstheme="minorHAnsi"/>
          <w:bCs/>
          <w:sz w:val="24"/>
          <w:szCs w:val="24"/>
        </w:rPr>
        <w:t xml:space="preserve">.   If you think you have been a victim of unlawful housing discrimination, contact Champaign-Urbana Tenant Union at </w:t>
      </w:r>
      <w:r>
        <w:rPr>
          <w:rFonts w:cs="Calibri" w:cstheme="minorHAnsi"/>
          <w:b/>
          <w:color w:val="002060"/>
          <w:sz w:val="24"/>
          <w:szCs w:val="24"/>
        </w:rPr>
        <w:t>cutenantunion@gmail.com</w:t>
      </w:r>
      <w:r>
        <w:rPr>
          <w:color w:val="002060"/>
        </w:rPr>
        <w:t xml:space="preserve"> </w:t>
      </w:r>
    </w:p>
    <w:p>
      <w:pPr>
        <w:pStyle w:val="Normal"/>
        <w:rPr/>
      </w:pPr>
      <w:r>
        <w:rPr/>
      </w:r>
    </w:p>
    <w:p>
      <w:pPr>
        <w:pStyle w:val="Normal"/>
        <w:widowControl/>
        <w:bidi w:val="0"/>
        <w:spacing w:lineRule="auto" w:line="252" w:before="0" w:after="160"/>
        <w:jc w:val="left"/>
        <w:rPr/>
      </w:pPr>
      <w:r>
        <w:rPr/>
      </w:r>
    </w:p>
    <w:sectPr>
      <w:type w:val="nextPage"/>
      <w:pgSz w:w="12240" w:h="15840"/>
      <w:pgMar w:left="1440" w:right="1440" w:gutter="0" w:header="0" w:top="720" w:footer="0" w:bottom="86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Calibri" w:hAnsi="Calibri" w:cs="Calibri" w:hint="default"/>
        <w:dstrike w:val="false"/>
        <w:strike w:val="false"/>
        <w:u w:val="none"/>
        <w:b w:val="false"/>
        <w:effect w:val="no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bering>
</file>

<file path=word/settings.xml><?xml version="1.0" encoding="utf-8"?>
<w:settings xmlns:w="http://schemas.openxmlformats.org/wordprocessingml/2006/main">
  <w:zoom w:percent="9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3ce6"/>
    <w:pPr>
      <w:widowControl/>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a53ce6"/>
    <w:rPr>
      <w:color w:val="0563C1" w:themeColor="hyperlink"/>
      <w:u w:val="single"/>
    </w:rPr>
  </w:style>
  <w:style w:type="character" w:styleId="TitleChar" w:customStyle="1">
    <w:name w:val="Title Char"/>
    <w:basedOn w:val="DefaultParagraphFont"/>
    <w:link w:val="Title"/>
    <w:qFormat/>
    <w:rsid w:val="00a53ce6"/>
    <w:rPr>
      <w:rFonts w:ascii="Times" w:hAnsi="Times" w:eastAsia="Times" w:cs="Times New Roman"/>
      <w:b/>
      <w:sz w:val="24"/>
      <w:szCs w:val="20"/>
    </w:rPr>
  </w:style>
  <w:style w:type="character" w:styleId="BodyTextChar" w:customStyle="1">
    <w:name w:val="Body Text Char"/>
    <w:basedOn w:val="DefaultParagraphFont"/>
    <w:semiHidden/>
    <w:qFormat/>
    <w:rsid w:val="00a53ce6"/>
    <w:rPr>
      <w:rFonts w:ascii="Times" w:hAnsi="Times" w:eastAsia="Times" w:cs="Times New Roman"/>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a53ce6"/>
    <w:pPr>
      <w:spacing w:lineRule="auto" w:line="240" w:before="0" w:after="0"/>
    </w:pPr>
    <w:rPr>
      <w:rFonts w:ascii="Times" w:hAnsi="Times" w:eastAsia="Times" w:cs="Times New Roman"/>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itle">
    <w:name w:val="Title"/>
    <w:basedOn w:val="Normal"/>
    <w:link w:val="TitleChar"/>
    <w:qFormat/>
    <w:rsid w:val="00a53ce6"/>
    <w:pPr>
      <w:spacing w:lineRule="auto" w:line="240" w:before="0" w:after="0"/>
      <w:jc w:val="center"/>
    </w:pPr>
    <w:rPr>
      <w:rFonts w:ascii="Times" w:hAnsi="Times" w:eastAsia="Times" w:cs="Times New Roman"/>
      <w:b/>
      <w:sz w:val="24"/>
      <w:szCs w:val="20"/>
    </w:rPr>
  </w:style>
  <w:style w:type="paragraph" w:styleId="ListParagraph">
    <w:name w:val="List Paragraph"/>
    <w:basedOn w:val="Normal"/>
    <w:uiPriority w:val="34"/>
    <w:qFormat/>
    <w:rsid w:val="00a53ce6"/>
    <w:pPr>
      <w:spacing w:lineRule="auto" w:line="276"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acc.net/" TargetMode="External"/><Relationship Id="rId3" Type="http://schemas.openxmlformats.org/officeDocument/2006/relationships/hyperlink" Target="mailto:cutenantunion@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Application>LibreOffice/7.3.7.2$Windows_X86_64 LibreOffice_project/e114eadc50a9ff8d8c8a0567d6da8f454beeb84f</Application>
  <AppVersion>15.0000</AppVersion>
  <Pages>1</Pages>
  <Words>418</Words>
  <Characters>2259</Characters>
  <CharactersWithSpaces>2700</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2023-02-01T00:59:00Z</dcterms:created>
  <dc:creator>Esther Patt</dc:creator>
  <dc:description/>
  <dc:language>en-US</dc:language>
  <cp:lastModifiedBy>Esther Patt</cp:lastModifiedBy>
  <dcterms:modified xsi:type="dcterms:W3CDTF">2023-02-01T20:54:00Z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